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4E" w:rsidRPr="00D0424E" w:rsidRDefault="00D0424E" w:rsidP="00D0424E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color w:val="D2441B"/>
          <w:sz w:val="40"/>
          <w:szCs w:val="40"/>
          <w:lang w:eastAsia="ru-RU"/>
        </w:rPr>
      </w:pPr>
      <w:r w:rsidRPr="00D0424E">
        <w:rPr>
          <w:rFonts w:ascii="Times New Roman" w:eastAsia="Times New Roman" w:hAnsi="Times New Roman" w:cs="Times New Roman"/>
          <w:color w:val="D2441B"/>
          <w:sz w:val="40"/>
          <w:szCs w:val="40"/>
          <w:lang w:eastAsia="ru-RU"/>
        </w:rPr>
        <w:t xml:space="preserve">Правила использования </w:t>
      </w:r>
      <w:proofErr w:type="spellStart"/>
      <w:r w:rsidRPr="00D0424E">
        <w:rPr>
          <w:rFonts w:ascii="Times New Roman" w:eastAsia="Times New Roman" w:hAnsi="Times New Roman" w:cs="Times New Roman"/>
          <w:color w:val="D2441B"/>
          <w:sz w:val="40"/>
          <w:szCs w:val="40"/>
          <w:lang w:eastAsia="ru-RU"/>
        </w:rPr>
        <w:t>световозвращающих</w:t>
      </w:r>
      <w:proofErr w:type="spellEnd"/>
      <w:r w:rsidRPr="00D0424E">
        <w:rPr>
          <w:rFonts w:ascii="Times New Roman" w:eastAsia="Times New Roman" w:hAnsi="Times New Roman" w:cs="Times New Roman"/>
          <w:color w:val="D2441B"/>
          <w:sz w:val="40"/>
          <w:szCs w:val="40"/>
          <w:lang w:eastAsia="ru-RU"/>
        </w:rPr>
        <w:t xml:space="preserve"> элементов в одежде детей, виды </w:t>
      </w:r>
      <w:proofErr w:type="spellStart"/>
      <w:r w:rsidRPr="00D0424E">
        <w:rPr>
          <w:rFonts w:ascii="Times New Roman" w:eastAsia="Times New Roman" w:hAnsi="Times New Roman" w:cs="Times New Roman"/>
          <w:color w:val="D2441B"/>
          <w:sz w:val="40"/>
          <w:szCs w:val="40"/>
          <w:lang w:eastAsia="ru-RU"/>
        </w:rPr>
        <w:t>световозвращателей</w:t>
      </w:r>
      <w:proofErr w:type="spellEnd"/>
      <w:r w:rsidRPr="00D0424E">
        <w:rPr>
          <w:rFonts w:ascii="Times New Roman" w:eastAsia="Times New Roman" w:hAnsi="Times New Roman" w:cs="Times New Roman"/>
          <w:color w:val="D2441B"/>
          <w:sz w:val="40"/>
          <w:szCs w:val="40"/>
          <w:lang w:eastAsia="ru-RU"/>
        </w:rPr>
        <w:t xml:space="preserve"> для пешеходов</w:t>
      </w:r>
    </w:p>
    <w:p w:rsidR="00D0424E" w:rsidRPr="00D0424E" w:rsidRDefault="00D0424E" w:rsidP="00D0424E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042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Уважаемые родители (законные представители)!</w:t>
      </w:r>
    </w:p>
    <w:p w:rsidR="00D0424E" w:rsidRPr="00D0424E" w:rsidRDefault="00D0424E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Доводим до вашего сведения, что с 01 июля 2015 года в правилах дорожного движения произошли 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зменения, касающиеся применения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световозвращающих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элементов.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Обращаем Ваше внимание на необходимость в приобретении для детей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световозвращающих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приспособлений (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фликеров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). Использование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световозвращающих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приспособлений (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фликеров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Пункт 4.1. 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световозвращающими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элементами и обеспечить видимость этих предметов водителями транспортных средств». В соответствии с частью 1 статьи 12.29 КоАП за нарушение данного пункта предусмотрен штраф 500 рублей.</w:t>
      </w:r>
    </w:p>
    <w:p w:rsidR="00D0424E" w:rsidRPr="00D0424E" w:rsidRDefault="00D0424E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D0424E" w:rsidRDefault="00D0424E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световозвращателя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увеличивает эту цифру до 130-240 метров!</w:t>
      </w:r>
    </w:p>
    <w:p w:rsidR="009817A0" w:rsidRPr="00D0424E" w:rsidRDefault="009817A0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2381250" cy="2114550"/>
            <wp:effectExtent l="0" t="0" r="0" b="0"/>
            <wp:docPr id="2" name="Рисунок 2" descr="C:\Users\Учитель\Desktop\3e11ac6e21c87d11bfe4bb886290342803cfa0dd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3e11ac6e21c87d11bfe4bb886290342803cfa0dd_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2381250" cy="2114550"/>
            <wp:effectExtent l="0" t="0" r="0" b="0"/>
            <wp:docPr id="3" name="Рисунок 3" descr="C:\Users\Учитель\Desktop\f6536f99112762ef21b7ddae0b4a67aea4f1d94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f6536f99112762ef21b7ddae0b4a67aea4f1d944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E" w:rsidRDefault="00D0424E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     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не боится ни влаги, ни мороза – носить его можно в любую погоду.</w:t>
      </w:r>
    </w:p>
    <w:p w:rsidR="00D0424E" w:rsidRPr="00D0424E" w:rsidRDefault="00D0424E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0424E" w:rsidRDefault="00D0424E" w:rsidP="00D0424E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0424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Виды светоотражающих элементов</w:t>
      </w:r>
    </w:p>
    <w:p w:rsidR="009817A0" w:rsidRDefault="00D0424E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Световозвращающий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беспечения видимости человека.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     </w:t>
      </w:r>
      <w:proofErr w:type="gram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Подвешиваемый</w:t>
      </w:r>
      <w:proofErr w:type="gram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(подвеска) – изделие, подвешиваемое на одежду или часть тела, которое при необходимости можн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 легко подвешивать и снимать.</w:t>
      </w:r>
      <w:r w:rsidR="009817A0" w:rsidRPr="009817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817A0"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4314825" cy="2886075"/>
            <wp:effectExtent l="0" t="0" r="9525" b="9525"/>
            <wp:docPr id="4" name="Рисунок 4" descr="C:\Users\Учитель\Desktop\575de3e42de1cf913239e41df1bf07641cd99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575de3e42de1cf913239e41df1bf07641cd996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     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Съемный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 (значок) – изделие, временно прикрепляемое к одежде или надеваемое на какую-либо часть тела и снимаемое без помощи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инструментов.</w:t>
      </w:r>
    </w:p>
    <w:p w:rsidR="009817A0" w:rsidRDefault="009817A0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9" name="Рисунок 9" descr="C:\Users\Учитель\Desktop\51e7cbcb9e36499d1134e3716f8b1dd1b11b998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\Desktop\51e7cbcb9e36499d1134e3716f8b1dd1b11b9985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      </w:t>
      </w:r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Несъемное </w:t>
      </w:r>
      <w:proofErr w:type="spellStart"/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световозвращающее</w:t>
      </w:r>
      <w:proofErr w:type="spellEnd"/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изделие (наклейки) – изделие, предназначенно</w:t>
      </w:r>
      <w:r w:rsid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 быть постоянно закрепленным.</w:t>
      </w:r>
      <w:r w:rsid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="002D0709"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</w:t>
      </w:r>
      <w:proofErr w:type="spellEnd"/>
      <w:r w:rsidR="002D0709"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это самоклеящийся </w:t>
      </w:r>
      <w:proofErr w:type="spellStart"/>
      <w:r w:rsidR="002D0709"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световозвращающий</w:t>
      </w:r>
      <w:proofErr w:type="spellEnd"/>
      <w:r w:rsidR="002D0709"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элемент. Их можно наклеить на коляску, велосипед, самокат, ролики, рюкзак, сумку.</w:t>
      </w:r>
    </w:p>
    <w:p w:rsidR="002D0709" w:rsidRPr="002D0709" w:rsidRDefault="002D0709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817A0">
        <w:rPr>
          <w:rFonts w:ascii="Verdana" w:eastAsia="Times New Roman" w:hAnsi="Verdana" w:cs="Times New Roman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1905000" cy="1266825"/>
            <wp:effectExtent l="0" t="0" r="0" b="9525"/>
            <wp:docPr id="22" name="Рисунок 22" descr="светоотражающие элементы на детской одежде: зачем нужны и как их использовать. Где купить световозвращающие элементы в Новосибир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ветоотражающие элементы на детской одежде: зачем нужны и как их использовать. Где купить световозвращающие элементы в Новосибирск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</w:t>
      </w:r>
      <w:r w:rsidRPr="009817A0">
        <w:rPr>
          <w:rFonts w:ascii="Verdana" w:eastAsia="Times New Roman" w:hAnsi="Verdana" w:cs="Times New Roman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905000" cy="1266825"/>
            <wp:effectExtent l="0" t="0" r="0" b="9525"/>
            <wp:docPr id="23" name="Рисунок 23" descr="светоотражающие элементы на детской одежде: зачем нужны и как их использовать. Где купить световозвращающие элементы в Новосибир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етоотражающие элементы на детской одежде: зачем нужны и как их использовать. Где купить световозвращающие элементы в Новосибирск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7A0"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7" name="Рисунок 7" descr="C:\Users\Учитель\Desktop\db1b105ef3d6eea043a6622be91f47b84400293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db1b105ef3d6eea043a6622be91f47b84400293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7A0"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8" name="Рисунок 8" descr="C:\Users\Учитель\Desktop\01c640081b1fdd526c1e9cd7e2c199175698c3e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01c640081b1fdd526c1e9cd7e2c199175698c3e7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     </w:t>
      </w:r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Гибкое </w:t>
      </w:r>
      <w:proofErr w:type="spellStart"/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световозвращающее</w:t>
      </w:r>
      <w:proofErr w:type="spellEnd"/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изделие (браслет) – изделие, способное наматываться на стержень в любом напра</w:t>
      </w:r>
      <w:r w:rsid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влении без видимой деформации.</w:t>
      </w:r>
      <w:r w:rsidR="009817A0" w:rsidRPr="009817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D0709" w:rsidRDefault="009817A0" w:rsidP="00D0424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2381250" cy="1485900"/>
            <wp:effectExtent l="0" t="0" r="0" b="0"/>
            <wp:docPr id="5" name="Рисунок 5" descr="C:\Users\Учитель\Desktop\caadb2bf537ec6c36866cb1ce8b54a5f1d66a83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caadb2bf537ec6c36866cb1ce8b54a5f1d66a83a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</w:t>
      </w:r>
      <w:r w:rsidR="002D0709" w:rsidRPr="009817A0">
        <w:rPr>
          <w:rFonts w:ascii="Verdana" w:eastAsia="Times New Roman" w:hAnsi="Verdana" w:cs="Times New Roman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2381250" cy="1485900"/>
            <wp:effectExtent l="0" t="0" r="0" b="0"/>
            <wp:docPr id="21" name="Рисунок 21" descr="светоотражающие элементы на детской одежде: зачем нужны и как их использовать. Где купить световозвращающие элементы в Новосибир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ветоотражающие элементы на детской одежде: зачем нужны и как их использовать. Где купить световозвращающие элементы в Новосибирск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09" w:rsidRDefault="002D0709" w:rsidP="002D07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Светоотражающие браслеты нравятся многим за простоту надевания, возможность быстрого снятия, разнообразие вариантов ношения. Дети не всегда крепят их на руку, </w:t>
      </w:r>
      <w:proofErr w:type="gramStart"/>
      <w:r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возможно</w:t>
      </w:r>
      <w:proofErr w:type="gramEnd"/>
      <w:r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носить </w:t>
      </w:r>
      <w:proofErr w:type="spellStart"/>
      <w:r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брасет</w:t>
      </w:r>
      <w:proofErr w:type="spellEnd"/>
      <w:r w:rsidRPr="002D070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 сумке, ноге, закрепить его за пояс одежды.</w:t>
      </w:r>
    </w:p>
    <w:p w:rsidR="002D0709" w:rsidRPr="009817A0" w:rsidRDefault="002D0709" w:rsidP="002D070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    </w:t>
      </w:r>
      <w:r w:rsidRPr="00981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 стоит также забывать, что можно купить отдельные элементы гардероба со светоотражателями: сапожки, шапку, перчатки.</w:t>
      </w:r>
    </w:p>
    <w:p w:rsidR="00D0424E" w:rsidRPr="00D0424E" w:rsidRDefault="002D0709" w:rsidP="002D070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817A0">
        <w:rPr>
          <w:rFonts w:ascii="Verdana" w:eastAsia="Times New Roman" w:hAnsi="Verdana" w:cs="Times New Roman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343025" cy="1905000"/>
            <wp:effectExtent l="0" t="0" r="9525" b="0"/>
            <wp:docPr id="24" name="Рисунок 24" descr="светоотражающие элементы на детской одежде: зачем нужны и как их использовать. Где купить световозвращающие элементы в Новосибир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ветоотражающие элементы на детской одежде: зачем нужны и как их использовать. Где купить световозвращающие элементы в Новосибирск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7A0">
        <w:rPr>
          <w:rFonts w:ascii="Verdana" w:eastAsia="Times New Roman" w:hAnsi="Verdana" w:cs="Times New Roman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1905000" cy="1905000"/>
            <wp:effectExtent l="0" t="0" r="0" b="0"/>
            <wp:docPr id="25" name="Рисунок 25" descr="светоотражающие элементы на детской одежде: зачем нужны и как их использовать. Где купить световозвращающие элементы в Новосибир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ветоотражающие элементы на детской одежде: зачем нужны и как их использовать. Где купить световозвращающие элементы в Новосибирск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7A0">
        <w:rPr>
          <w:rFonts w:ascii="Verdana" w:eastAsia="Times New Roman" w:hAnsi="Verdana" w:cs="Times New Roman"/>
          <w:noProof/>
          <w:color w:val="4B4B4B"/>
          <w:sz w:val="18"/>
          <w:szCs w:val="18"/>
          <w:lang w:eastAsia="ru-RU"/>
        </w:rPr>
        <w:drawing>
          <wp:inline distT="0" distB="0" distL="0" distR="0">
            <wp:extent cx="2066925" cy="1905000"/>
            <wp:effectExtent l="0" t="0" r="9525" b="0"/>
            <wp:docPr id="26" name="Рисунок 26" descr="светоотражающие элементы на детской одежде: зачем нужны и как их использовать. Где купить световозвращающие элементы в Новосибир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ветоотражающие элементы на детской одежде: зачем нужны и как их использовать. Где купить световозвращающие элементы в Новосибирске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      </w:t>
      </w:r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Площадь </w:t>
      </w:r>
      <w:proofErr w:type="spellStart"/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световозвращающего</w:t>
      </w:r>
      <w:proofErr w:type="spellEnd"/>
      <w:r w:rsidR="00D0424E"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 должна составлять не менее 15 – 50 квадратных сантиметров.</w:t>
      </w:r>
    </w:p>
    <w:p w:rsidR="00D0424E" w:rsidRDefault="00D0424E" w:rsidP="00D0424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D0424E">
        <w:rPr>
          <w:rFonts w:ascii="Times New Roman" w:eastAsia="Times New Roman" w:hAnsi="Times New Roman" w:cs="Times New Roman"/>
          <w:i/>
          <w:color w:val="373737"/>
          <w:sz w:val="28"/>
          <w:szCs w:val="28"/>
          <w:bdr w:val="none" w:sz="0" w:space="0" w:color="auto" w:frame="1"/>
          <w:lang w:eastAsia="ru-RU"/>
        </w:rPr>
        <w:t>Как правильно носить?</w:t>
      </w:r>
    </w:p>
    <w:p w:rsidR="00D0424E" w:rsidRPr="00D0424E" w:rsidRDefault="00D0424E" w:rsidP="00D0424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373737"/>
          <w:sz w:val="28"/>
          <w:szCs w:val="28"/>
          <w:lang w:eastAsia="ru-RU"/>
        </w:rPr>
      </w:pPr>
    </w:p>
    <w:p w:rsidR="00D0424E" w:rsidRPr="00D0424E" w:rsidRDefault="00D0424E" w:rsidP="00D0424E">
      <w:pPr>
        <w:spacing w:after="240" w:line="33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</w:t>
      </w:r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световозвращатели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оставался видимым во всех направлениях </w:t>
      </w:r>
      <w:proofErr w:type="gram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</w:t>
      </w:r>
      <w:proofErr w:type="gram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приближающимся. Теперь о требованиях к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световозвращателям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D042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присутствовали и были видны водителям.</w:t>
      </w:r>
    </w:p>
    <w:p w:rsidR="009817A0" w:rsidRDefault="00D0424E" w:rsidP="00D0424E">
      <w:pPr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424E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https://dg49.tvoysadik.ru/images/tsdg49_new/Teda7b6814eb083a1670d492d9b4674a0.jpg">
              <a:hlinkClick xmlns:a="http://schemas.openxmlformats.org/drawingml/2006/main" r:id="rId17" tooltip="&quot;fliker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g49.tvoysadik.ru/images/tsdg49_new/Teda7b6814eb083a1670d492d9b4674a0.jpg">
                      <a:hlinkClick r:id="rId17" tooltip="&quot;fliker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7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="009817A0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1333500" cy="1333500"/>
            <wp:effectExtent l="0" t="0" r="0" b="0"/>
            <wp:docPr id="10" name="Рисунок 10" descr="C:\Users\Учитель\Desktop\562a72728a713550fcb9a26e193556a86054b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итель\Desktop\562a72728a713550fcb9a26e193556a86054b98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E" w:rsidRPr="00D0424E" w:rsidRDefault="009817A0" w:rsidP="00D0424E">
      <w:pPr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</w:p>
    <w:p w:rsidR="00E9356C" w:rsidRDefault="00E9356C">
      <w:bookmarkStart w:id="0" w:name="_GoBack"/>
      <w:bookmarkEnd w:id="0"/>
    </w:p>
    <w:sectPr w:rsidR="00E9356C" w:rsidSect="004E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CE6"/>
    <w:rsid w:val="002C31BC"/>
    <w:rsid w:val="002D0709"/>
    <w:rsid w:val="004E6FD8"/>
    <w:rsid w:val="004F2688"/>
    <w:rsid w:val="0070705C"/>
    <w:rsid w:val="00950FC8"/>
    <w:rsid w:val="009817A0"/>
    <w:rsid w:val="00D0424E"/>
    <w:rsid w:val="00D91CE6"/>
    <w:rsid w:val="00E9356C"/>
    <w:rsid w:val="00F8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146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7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dg49.tvoysadik.ru/images/tsdg49_new/NReda7b6814eb083a1670d492d9b4674a0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2018-02-08T18:34:00Z</dcterms:created>
  <dcterms:modified xsi:type="dcterms:W3CDTF">2018-02-08T18:34:00Z</dcterms:modified>
</cp:coreProperties>
</file>